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Date received:</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Received from:</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Mailing address:</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Phone: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Email:</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Description of items: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Provenance: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Type of acquisition: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9.99999999999994" w:right="0" w:hanging="359.99999999999994"/>
              <w:jc w:val="left"/>
              <w:rPr>
                <w:sz w:val="24"/>
                <w:szCs w:val="24"/>
                <w:u w:val="none"/>
              </w:rPr>
            </w:pPr>
            <w:r w:rsidDel="00000000" w:rsidR="00000000" w:rsidRPr="00000000">
              <w:rPr>
                <w:sz w:val="24"/>
                <w:szCs w:val="24"/>
                <w:rtl w:val="0"/>
              </w:rPr>
              <w:t xml:space="preserve">Gift</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9.99999999999994" w:right="0" w:hanging="359.99999999999994"/>
              <w:jc w:val="left"/>
              <w:rPr>
                <w:sz w:val="24"/>
                <w:szCs w:val="24"/>
                <w:u w:val="none"/>
              </w:rPr>
            </w:pPr>
            <w:r w:rsidDel="00000000" w:rsidR="00000000" w:rsidRPr="00000000">
              <w:rPr>
                <w:sz w:val="24"/>
                <w:szCs w:val="24"/>
                <w:rtl w:val="0"/>
              </w:rPr>
              <w:t xml:space="preserve">Bequest</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9.99999999999994" w:right="0" w:hanging="359.99999999999994"/>
              <w:jc w:val="left"/>
              <w:rPr>
                <w:sz w:val="24"/>
                <w:szCs w:val="24"/>
                <w:u w:val="none"/>
              </w:rPr>
            </w:pPr>
            <w:r w:rsidDel="00000000" w:rsidR="00000000" w:rsidRPr="00000000">
              <w:rPr>
                <w:sz w:val="24"/>
                <w:szCs w:val="24"/>
                <w:rtl w:val="0"/>
              </w:rPr>
              <w:t xml:space="preserve">Purchase</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59.99999999999994" w:right="0" w:hanging="359.99999999999994"/>
              <w:jc w:val="left"/>
              <w:rPr>
                <w:sz w:val="24"/>
                <w:szCs w:val="24"/>
                <w:u w:val="none"/>
              </w:rPr>
            </w:pPr>
            <w:r w:rsidDel="00000000" w:rsidR="00000000" w:rsidRPr="00000000">
              <w:rPr>
                <w:sz w:val="24"/>
                <w:szCs w:val="24"/>
                <w:rtl w:val="0"/>
              </w:rPr>
              <w:t xml:space="preserve">Transfer</w:t>
            </w:r>
          </w:p>
        </w:tc>
      </w:tr>
    </w:tbl>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b w:val="1"/>
          <w:bCs w:val="1"/>
          <w:sz w:val="24"/>
          <w:szCs w:val="24"/>
        </w:rPr>
      </w:pPr>
      <w:r w:rsidDel="00000000" w:rsidR="00000000" w:rsidRPr="00000000">
        <w:rPr>
          <w:b w:val="1"/>
          <w:bCs w:val="1"/>
          <w:sz w:val="24"/>
          <w:szCs w:val="24"/>
          <w:rtl w:val="0"/>
        </w:rPr>
        <w:t xml:space="preserve">Primary considerations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1080"/>
        <w:gridCol w:w="7200"/>
        <w:tblGridChange w:id="0">
          <w:tblGrid>
            <w:gridCol w:w="1080"/>
            <w:gridCol w:w="1080"/>
            <w:gridCol w:w="72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left="359.99999999999994"/>
              <w:jc w:val="center"/>
              <w:rPr>
                <w:b w:val="1"/>
                <w:bCs w:val="1"/>
                <w:sz w:val="24"/>
                <w:szCs w:val="24"/>
              </w:rPr>
            </w:pPr>
            <w:r w:rsidDel="00000000" w:rsidR="00000000" w:rsidRPr="00000000">
              <w:rPr>
                <w:b w:val="1"/>
                <w:bCs w:val="1"/>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ind w:left="360.00000000000034" w:hanging="359.99999999999943"/>
              <w:jc w:val="center"/>
              <w:rPr>
                <w:b w:val="1"/>
                <w:bCs w:val="1"/>
                <w:sz w:val="24"/>
                <w:szCs w:val="24"/>
              </w:rPr>
            </w:pPr>
            <w:r w:rsidDel="00000000" w:rsidR="00000000" w:rsidRPr="00000000">
              <w:rPr>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sz w:val="24"/>
                <w:szCs w:val="24"/>
              </w:rPr>
            </w:pPr>
            <w:r w:rsidDel="00000000" w:rsidR="00000000" w:rsidRPr="00000000">
              <w:rPr>
                <w:sz w:val="24"/>
                <w:szCs w:val="24"/>
                <w:rtl w:val="0"/>
              </w:rPr>
              <w:t xml:space="preserve">Does the acquisition fit with the museum’s purpose statement?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24"/>
                <w:szCs w:val="24"/>
              </w:rPr>
            </w:pPr>
            <w:r w:rsidDel="00000000" w:rsidR="00000000" w:rsidRPr="00000000">
              <w:rPr>
                <w:sz w:val="24"/>
                <w:szCs w:val="24"/>
                <w:rtl w:val="0"/>
              </w:rPr>
              <w:t xml:space="preserve">Does the acquisition fall within the museum’s collection mandate?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sz w:val="24"/>
                <w:szCs w:val="24"/>
                <w:rtl w:val="0"/>
              </w:rPr>
              <w:t xml:space="preserve">Does the donor or vendor </w:t>
            </w:r>
            <w:r w:rsidDel="00000000" w:rsidR="00000000" w:rsidRPr="00000000">
              <w:rPr>
                <w:sz w:val="24"/>
                <w:szCs w:val="24"/>
                <w:rtl w:val="0"/>
              </w:rPr>
              <w:t xml:space="preserve">have clear</w:t>
            </w:r>
            <w:r w:rsidDel="00000000" w:rsidR="00000000" w:rsidRPr="00000000">
              <w:rPr>
                <w:sz w:val="24"/>
                <w:szCs w:val="24"/>
                <w:rtl w:val="0"/>
              </w:rPr>
              <w:t xml:space="preserve"> title to the object(s)?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24"/>
                <w:szCs w:val="24"/>
              </w:rPr>
            </w:pPr>
            <w:r w:rsidDel="00000000" w:rsidR="00000000" w:rsidRPr="00000000">
              <w:rPr>
                <w:sz w:val="24"/>
                <w:szCs w:val="24"/>
                <w:rtl w:val="0"/>
              </w:rPr>
              <w:t xml:space="preserve">Is the museum able to legally acquire the object(s), or is there legislation that may prohibit it? (e.g., if the object is a firearm, do you have a firearm license? Fossils and archaeological material are protected under the </w:t>
            </w:r>
            <w:hyperlink r:id="rId6">
              <w:r w:rsidDel="00000000" w:rsidR="00000000" w:rsidRPr="00000000">
                <w:rPr>
                  <w:i w:val="1"/>
                  <w:iCs w:val="1"/>
                  <w:color w:val="1155cc"/>
                  <w:sz w:val="24"/>
                  <w:szCs w:val="24"/>
                  <w:u w:val="single"/>
                  <w:rtl w:val="0"/>
                </w:rPr>
                <w:t xml:space="preserve">Special Places Protection Act</w:t>
              </w:r>
            </w:hyperlink>
            <w:r w:rsidDel="00000000" w:rsidR="00000000" w:rsidRPr="00000000">
              <w:rPr>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sz w:val="24"/>
                <w:szCs w:val="24"/>
              </w:rPr>
            </w:pPr>
            <w:r w:rsidDel="00000000" w:rsidR="00000000" w:rsidRPr="00000000">
              <w:rPr>
                <w:sz w:val="24"/>
                <w:szCs w:val="24"/>
                <w:rtl w:val="0"/>
              </w:rPr>
              <w:t xml:space="preserve">Are resources available for management and care of the acquisition?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sz w:val="24"/>
                <w:szCs w:val="24"/>
              </w:rPr>
            </w:pPr>
            <w:r w:rsidDel="00000000" w:rsidR="00000000" w:rsidRPr="00000000">
              <w:rPr>
                <w:sz w:val="24"/>
                <w:szCs w:val="24"/>
                <w:rtl w:val="0"/>
              </w:rPr>
              <w:t xml:space="preserve">Does the acquisition have any special preservation requirements?</w:t>
            </w:r>
          </w:p>
        </w:tc>
      </w:tr>
    </w:tbl>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b w:val="1"/>
          <w:bCs w:val="1"/>
          <w:sz w:val="24"/>
          <w:szCs w:val="24"/>
        </w:rPr>
      </w:pPr>
      <w:r w:rsidDel="00000000" w:rsidR="00000000" w:rsidRPr="00000000">
        <w:rPr>
          <w:b w:val="1"/>
          <w:bCs w:val="1"/>
          <w:sz w:val="24"/>
          <w:szCs w:val="24"/>
          <w:rtl w:val="0"/>
        </w:rPr>
        <w:t xml:space="preserve">Secondary considerations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1080"/>
        <w:gridCol w:w="7200"/>
        <w:tblGridChange w:id="0">
          <w:tblGrid>
            <w:gridCol w:w="1080"/>
            <w:gridCol w:w="1080"/>
            <w:gridCol w:w="72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Does the museum already possess similar items?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Is the museum’s possession of the acquisition totally ethical?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2"/>
              </w:numPr>
              <w:spacing w:line="240" w:lineRule="auto"/>
              <w:ind w:left="359.99999999999994"/>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numPr>
                <w:ilvl w:val="0"/>
                <w:numId w:val="6"/>
              </w:numPr>
              <w:spacing w:line="240" w:lineRule="auto"/>
              <w:ind w:left="360.00000000000034" w:hanging="359.99999999999943"/>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Can the museum provide adequate public access to the acquisition?</w:t>
            </w:r>
          </w:p>
        </w:tc>
      </w:tr>
    </w:tbl>
    <w:p w:rsidR="00000000" w:rsidDel="00000000" w:rsidP="00000000" w:rsidRDefault="00000000" w:rsidRPr="00000000" w14:paraId="0000006E">
      <w:pPr>
        <w:rPr>
          <w:sz w:val="12"/>
          <w:szCs w:val="12"/>
        </w:rPr>
      </w:pPr>
      <w:r w:rsidDel="00000000" w:rsidR="00000000" w:rsidRPr="00000000">
        <w:rPr>
          <w:rtl w:val="0"/>
        </w:rPr>
      </w:r>
    </w:p>
    <w:p w:rsidR="00000000" w:rsidDel="00000000" w:rsidP="00000000" w:rsidRDefault="00000000" w:rsidRPr="00000000" w14:paraId="0000006F">
      <w:pPr>
        <w:rPr>
          <w:b w:val="1"/>
          <w:bCs w:val="1"/>
          <w:sz w:val="24"/>
          <w:szCs w:val="24"/>
        </w:rPr>
      </w:pPr>
      <w:r w:rsidDel="00000000" w:rsidR="00000000" w:rsidRPr="00000000">
        <w:rPr>
          <w:b w:val="1"/>
          <w:bCs w:val="1"/>
          <w:sz w:val="24"/>
          <w:szCs w:val="24"/>
          <w:rtl w:val="0"/>
        </w:rPr>
        <w:t xml:space="preserve">Notes:</w:t>
      </w:r>
    </w:p>
    <w:p w:rsidR="00000000" w:rsidDel="00000000" w:rsidP="00000000" w:rsidRDefault="00000000" w:rsidRPr="00000000" w14:paraId="00000070">
      <w:pPr>
        <w:rPr>
          <w:sz w:val="24"/>
          <w:szCs w:val="24"/>
        </w:rPr>
      </w:pPr>
      <w:r w:rsidDel="00000000" w:rsidR="00000000" w:rsidRPr="00000000">
        <w:rPr>
          <w:sz w:val="24"/>
          <w:szCs w:val="24"/>
          <w:rtl w:val="0"/>
        </w:rPr>
        <w:t xml:space="preserve">The object(s) will only be accepted if they meet all of the primary considerations (all responses being positive except for the final question). If the evaluators determine that they cannot accept the acquisition, the following steps will be taken:</w:t>
      </w:r>
    </w:p>
    <w:p w:rsidR="00000000" w:rsidDel="00000000" w:rsidP="00000000" w:rsidRDefault="00000000" w:rsidRPr="00000000" w14:paraId="00000071">
      <w:pPr>
        <w:numPr>
          <w:ilvl w:val="0"/>
          <w:numId w:val="4"/>
        </w:numPr>
        <w:ind w:left="720" w:hanging="360"/>
        <w:rPr>
          <w:sz w:val="24"/>
          <w:szCs w:val="24"/>
          <w:u w:val="none"/>
        </w:rPr>
      </w:pPr>
      <w:r w:rsidDel="00000000" w:rsidR="00000000" w:rsidRPr="00000000">
        <w:rPr>
          <w:sz w:val="24"/>
          <w:szCs w:val="24"/>
          <w:rtl w:val="0"/>
        </w:rPr>
        <w:t xml:space="preserve">Return the potential acquisition items to the donor, including a letter outlining the reasons for not accepting the donation.</w:t>
      </w:r>
    </w:p>
    <w:p w:rsidR="00000000" w:rsidDel="00000000" w:rsidP="00000000" w:rsidRDefault="00000000" w:rsidRPr="00000000" w14:paraId="00000072">
      <w:pPr>
        <w:numPr>
          <w:ilvl w:val="0"/>
          <w:numId w:val="4"/>
        </w:numPr>
        <w:ind w:left="720" w:hanging="360"/>
        <w:rPr>
          <w:sz w:val="24"/>
          <w:szCs w:val="24"/>
          <w:u w:val="none"/>
        </w:rPr>
      </w:pPr>
      <w:r w:rsidDel="00000000" w:rsidR="00000000" w:rsidRPr="00000000">
        <w:rPr>
          <w:sz w:val="24"/>
          <w:szCs w:val="24"/>
          <w:rtl w:val="0"/>
        </w:rPr>
        <w:t xml:space="preserve">Suggest other museums that may be interested in the acquisition, based on their collection mandates.</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b w:val="1"/>
          <w:bCs w:val="1"/>
          <w:sz w:val="24"/>
          <w:szCs w:val="24"/>
        </w:rPr>
      </w:pPr>
      <w:r w:rsidDel="00000000" w:rsidR="00000000" w:rsidRPr="00000000">
        <w:rPr>
          <w:b w:val="1"/>
          <w:bCs w:val="1"/>
          <w:sz w:val="24"/>
          <w:szCs w:val="24"/>
          <w:rtl w:val="0"/>
        </w:rPr>
        <w:t xml:space="preserve">Recommended for acquisition: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8280"/>
        <w:tblGridChange w:id="0">
          <w:tblGrid>
            <w:gridCol w:w="1080"/>
            <w:gridCol w:w="8280"/>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363.3333333333326" w:right="0" w:hanging="359.99999999999994"/>
              <w:jc w:val="left"/>
              <w:rPr>
                <w:sz w:val="24"/>
                <w:szCs w:val="24"/>
                <w:u w:val="none"/>
              </w:rPr>
            </w:pPr>
            <w:r w:rsidDel="00000000" w:rsidR="00000000" w:rsidRPr="00000000">
              <w:rPr>
                <w:sz w:val="24"/>
                <w:szCs w:val="24"/>
                <w:rtl w:val="0"/>
              </w:rPr>
              <w:t xml:space="preserve">Yes</w:t>
            </w:r>
          </w:p>
          <w:p w:rsidR="00000000" w:rsidDel="00000000" w:rsidP="00000000" w:rsidRDefault="00000000" w:rsidRPr="00000000" w14:paraId="00000076">
            <w:pPr>
              <w:widowControl w:val="0"/>
              <w:numPr>
                <w:ilvl w:val="0"/>
                <w:numId w:val="3"/>
              </w:numPr>
              <w:spacing w:line="276" w:lineRule="auto"/>
              <w:ind w:left="360.00000000000034" w:hanging="359.99999999999943"/>
              <w:rPr>
                <w:sz w:val="24"/>
                <w:szCs w:val="24"/>
              </w:rPr>
            </w:pPr>
            <w:r w:rsidDel="00000000" w:rsidR="00000000" w:rsidRPr="00000000">
              <w:rPr>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Date: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before="0" w:line="240" w:lineRule="auto"/>
              <w:ind w:left="0" w:firstLine="0"/>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0000000000034" w:right="0" w:hanging="359.99999999999943"/>
              <w:jc w:val="left"/>
              <w:rPr>
                <w:sz w:val="24"/>
                <w:szCs w:val="24"/>
              </w:rPr>
            </w:pPr>
            <w:r w:rsidDel="00000000" w:rsidR="00000000" w:rsidRPr="00000000">
              <w:rPr>
                <w:sz w:val="24"/>
                <w:szCs w:val="24"/>
                <w:rtl w:val="0"/>
              </w:rPr>
              <w:t xml:space="preserve">Museum representative:</w:t>
            </w:r>
          </w:p>
        </w:tc>
      </w:tr>
    </w:tbl>
    <w:p w:rsidR="00000000" w:rsidDel="00000000" w:rsidP="00000000" w:rsidRDefault="00000000" w:rsidRPr="00000000" w14:paraId="0000007A">
      <w:pPr>
        <w:rPr>
          <w:sz w:val="24"/>
          <w:szCs w:val="24"/>
        </w:rPr>
      </w:pPr>
      <w:r w:rsidDel="00000000" w:rsidR="00000000" w:rsidRPr="00000000">
        <w:rPr>
          <w:rtl w:val="0"/>
        </w:rPr>
      </w:r>
    </w:p>
    <w:sectPr>
      <w:headerReference r:id="rId7" w:type="first"/>
      <w:footerReference r:id="rId8" w:type="first"/>
      <w:pgSz w:h="15840" w:w="12240" w:orient="portrait"/>
      <w:pgMar w:bottom="1440" w:top="1440" w:left="1440" w:right="1440" w:header="108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jc w:val="right"/>
      <w:rPr>
        <w:b w:val="1"/>
        <w:bCs w:val="1"/>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-447674</wp:posOffset>
          </wp:positionH>
          <wp:positionV relativeFrom="paragraph">
            <wp:posOffset>-342899</wp:posOffset>
          </wp:positionV>
          <wp:extent cx="2405063" cy="10504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05063" cy="1050404"/>
                  </a:xfrm>
                  <a:prstGeom prst="rect"/>
                  <a:ln/>
                </pic:spPr>
              </pic:pic>
            </a:graphicData>
          </a:graphic>
        </wp:anchor>
      </w:drawing>
    </w:r>
  </w:p>
  <w:p w:rsidR="00000000" w:rsidDel="00000000" w:rsidP="00000000" w:rsidRDefault="00000000" w:rsidRPr="00000000" w14:paraId="0000007C">
    <w:pPr>
      <w:jc w:val="right"/>
      <w:rPr/>
    </w:pPr>
    <w:r w:rsidDel="00000000" w:rsidR="00000000" w:rsidRPr="00000000">
      <w:rPr>
        <w:b w:val="1"/>
        <w:bCs w:val="1"/>
        <w:sz w:val="28"/>
        <w:szCs w:val="28"/>
        <w:rtl w:val="0"/>
      </w:rPr>
      <w:t xml:space="preserve">Pre-Acquisition Review Form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ch.novascotia.ca/exploring-our-past/special-places"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