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C9E94" w14:textId="77777777" w:rsidR="000D60F1" w:rsidRDefault="003D0CE2" w:rsidP="003D0CE2">
      <w:pPr>
        <w:pStyle w:val="Title"/>
        <w:spacing w:line="259" w:lineRule="auto"/>
      </w:pPr>
      <w:r>
        <w:t>Quick Tips on Working with Subject Matter Experts (SMEs)</w:t>
      </w:r>
    </w:p>
    <w:p w14:paraId="4B8C9265" w14:textId="77777777" w:rsidR="000D60F1" w:rsidRDefault="003D0CE2">
      <w:pPr>
        <w:pBdr>
          <w:top w:val="nil"/>
          <w:left w:val="nil"/>
          <w:bottom w:val="nil"/>
          <w:right w:val="nil"/>
          <w:between w:val="nil"/>
        </w:pBdr>
        <w:spacing w:before="286" w:line="259" w:lineRule="auto"/>
        <w:ind w:left="100" w:right="123"/>
        <w:rPr>
          <w:color w:val="000000"/>
        </w:rPr>
      </w:pPr>
      <w:r>
        <w:rPr>
          <w:color w:val="000000"/>
        </w:rPr>
        <w:t>Harness the knowledge of local experts to help identify objects and enrich artifact records. This will engage knowledgeable community members, and give them a venue to share their knowledge with the general public. Visitors have been asking for stories abo</w:t>
      </w:r>
      <w:r>
        <w:rPr>
          <w:color w:val="000000"/>
        </w:rPr>
        <w:t>ut your artifacts. This is your chance to learn and share them!</w:t>
      </w:r>
    </w:p>
    <w:p w14:paraId="6AD905A1" w14:textId="77777777" w:rsidR="000D60F1" w:rsidRDefault="003D0CE2">
      <w:pPr>
        <w:pBdr>
          <w:top w:val="nil"/>
          <w:left w:val="nil"/>
          <w:bottom w:val="nil"/>
          <w:right w:val="nil"/>
          <w:between w:val="nil"/>
        </w:pBdr>
        <w:spacing w:before="9"/>
        <w:rPr>
          <w:color w:val="000000"/>
          <w:sz w:val="20"/>
          <w:szCs w:val="20"/>
        </w:rPr>
      </w:pPr>
      <w:r>
        <w:rPr>
          <w:noProof/>
        </w:rPr>
        <w:drawing>
          <wp:anchor distT="0" distB="0" distL="0" distR="0" simplePos="0" relativeHeight="251658240" behindDoc="0" locked="0" layoutInCell="1" hidden="0" allowOverlap="1" wp14:anchorId="4729B2A7" wp14:editId="25B78DA8">
            <wp:simplePos x="0" y="0"/>
            <wp:positionH relativeFrom="column">
              <wp:posOffset>63500</wp:posOffset>
            </wp:positionH>
            <wp:positionV relativeFrom="paragraph">
              <wp:posOffset>185983</wp:posOffset>
            </wp:positionV>
            <wp:extent cx="5943921" cy="1188148"/>
            <wp:effectExtent l="0" t="0" r="0" b="0"/>
            <wp:wrapTopAndBottom distT="0" distB="0"/>
            <wp:docPr id="1" name="image1.jpg" descr="NovaMuse Header.png"/>
            <wp:cNvGraphicFramePr/>
            <a:graphic xmlns:a="http://schemas.openxmlformats.org/drawingml/2006/main">
              <a:graphicData uri="http://schemas.openxmlformats.org/drawingml/2006/picture">
                <pic:pic xmlns:pic="http://schemas.openxmlformats.org/drawingml/2006/picture">
                  <pic:nvPicPr>
                    <pic:cNvPr id="0" name="image1.jpg" descr="NovaMuse Header.png"/>
                    <pic:cNvPicPr preferRelativeResize="0"/>
                  </pic:nvPicPr>
                  <pic:blipFill>
                    <a:blip r:embed="rId5"/>
                    <a:srcRect/>
                    <a:stretch>
                      <a:fillRect/>
                    </a:stretch>
                  </pic:blipFill>
                  <pic:spPr>
                    <a:xfrm>
                      <a:off x="0" y="0"/>
                      <a:ext cx="5943921" cy="1188148"/>
                    </a:xfrm>
                    <a:prstGeom prst="rect">
                      <a:avLst/>
                    </a:prstGeom>
                    <a:ln/>
                  </pic:spPr>
                </pic:pic>
              </a:graphicData>
            </a:graphic>
          </wp:anchor>
        </w:drawing>
      </w:r>
    </w:p>
    <w:p w14:paraId="22B9E2A2" w14:textId="77777777" w:rsidR="000D60F1" w:rsidRDefault="000D60F1">
      <w:pPr>
        <w:pBdr>
          <w:top w:val="nil"/>
          <w:left w:val="nil"/>
          <w:bottom w:val="nil"/>
          <w:right w:val="nil"/>
          <w:between w:val="nil"/>
        </w:pBdr>
        <w:rPr>
          <w:color w:val="000000"/>
        </w:rPr>
      </w:pPr>
    </w:p>
    <w:p w14:paraId="50381F1E" w14:textId="77777777" w:rsidR="000D60F1" w:rsidRDefault="003D0CE2">
      <w:pPr>
        <w:numPr>
          <w:ilvl w:val="0"/>
          <w:numId w:val="1"/>
        </w:numPr>
        <w:pBdr>
          <w:top w:val="nil"/>
          <w:left w:val="nil"/>
          <w:bottom w:val="nil"/>
          <w:right w:val="nil"/>
          <w:between w:val="nil"/>
        </w:pBdr>
        <w:tabs>
          <w:tab w:val="left" w:pos="820"/>
          <w:tab w:val="left" w:pos="821"/>
        </w:tabs>
        <w:spacing w:before="164"/>
        <w:ind w:right="441"/>
        <w:rPr>
          <w:color w:val="000000"/>
        </w:rPr>
      </w:pPr>
      <w:r>
        <w:rPr>
          <w:color w:val="000000"/>
        </w:rPr>
        <w:t>Make sure you ask the SME what they would like to work on. They are doing you a favour, so make it as interesting as you can for them.</w:t>
      </w:r>
    </w:p>
    <w:p w14:paraId="140E9991" w14:textId="77777777" w:rsidR="000D60F1" w:rsidRDefault="003D0CE2">
      <w:pPr>
        <w:numPr>
          <w:ilvl w:val="0"/>
          <w:numId w:val="1"/>
        </w:numPr>
        <w:tabs>
          <w:tab w:val="left" w:pos="820"/>
          <w:tab w:val="left" w:pos="821"/>
        </w:tabs>
        <w:spacing w:before="240" w:after="240"/>
      </w:pPr>
      <w:r>
        <w:t xml:space="preserve">Remember that every SME is different. Some may come into the project with preconceived ideas of their involvement. Prior </w:t>
      </w:r>
      <w:r>
        <w:t>to starting SME work, it is important to set out objectives and guidelines for the project, helping to manage expectations. Outlining the SMEs and your responsibilities can be vital to ensuring everyone is on the same page.</w:t>
      </w:r>
    </w:p>
    <w:p w14:paraId="0F261716" w14:textId="77777777" w:rsidR="000D60F1" w:rsidRDefault="003D0CE2">
      <w:pPr>
        <w:numPr>
          <w:ilvl w:val="0"/>
          <w:numId w:val="1"/>
        </w:numPr>
        <w:pBdr>
          <w:top w:val="nil"/>
          <w:left w:val="nil"/>
          <w:bottom w:val="nil"/>
          <w:right w:val="nil"/>
          <w:between w:val="nil"/>
        </w:pBdr>
        <w:tabs>
          <w:tab w:val="left" w:pos="820"/>
          <w:tab w:val="left" w:pos="821"/>
        </w:tabs>
        <w:ind w:right="178"/>
        <w:rPr>
          <w:color w:val="000000"/>
        </w:rPr>
      </w:pPr>
      <w:r>
        <w:rPr>
          <w:color w:val="000000"/>
        </w:rPr>
        <w:t>When deciding the grouping of ar</w:t>
      </w:r>
      <w:r>
        <w:rPr>
          <w:color w:val="000000"/>
        </w:rPr>
        <w:t xml:space="preserve">tifacts to work through, think of how you can search for what area your SME has identified. If this is agricultural tools in general, for example, run a search by category, using Agricultural T&amp;E. Perhaps they want to work through a very specific set of </w:t>
      </w:r>
      <w:r>
        <w:t>ob</w:t>
      </w:r>
      <w:r>
        <w:t>jects</w:t>
      </w:r>
      <w:r>
        <w:rPr>
          <w:color w:val="000000"/>
        </w:rPr>
        <w:t>, such as military badges. Conduct this search by the object name Badge, Military. Be sure to account for nomenclature errors, and look for objects labelled Badge and Badge, Cap etc. All of this searching can be done by either Browsing or using the Ad</w:t>
      </w:r>
      <w:r>
        <w:rPr>
          <w:color w:val="000000"/>
        </w:rPr>
        <w:t>vanced Search function.</w:t>
      </w:r>
    </w:p>
    <w:p w14:paraId="43505E70" w14:textId="77777777" w:rsidR="000D60F1" w:rsidRDefault="000D60F1">
      <w:pPr>
        <w:pBdr>
          <w:top w:val="nil"/>
          <w:left w:val="nil"/>
          <w:bottom w:val="nil"/>
          <w:right w:val="nil"/>
          <w:between w:val="nil"/>
        </w:pBdr>
        <w:rPr>
          <w:color w:val="000000"/>
        </w:rPr>
      </w:pPr>
    </w:p>
    <w:p w14:paraId="7D43D868" w14:textId="77777777" w:rsidR="000D60F1" w:rsidRDefault="003D0CE2">
      <w:pPr>
        <w:numPr>
          <w:ilvl w:val="0"/>
          <w:numId w:val="1"/>
        </w:numPr>
        <w:pBdr>
          <w:top w:val="nil"/>
          <w:left w:val="nil"/>
          <w:bottom w:val="nil"/>
          <w:right w:val="nil"/>
          <w:between w:val="nil"/>
        </w:pBdr>
        <w:tabs>
          <w:tab w:val="left" w:pos="820"/>
          <w:tab w:val="left" w:pos="821"/>
        </w:tabs>
        <w:spacing w:before="161"/>
        <w:ind w:right="589"/>
        <w:rPr>
          <w:color w:val="000000"/>
        </w:rPr>
      </w:pPr>
      <w:r>
        <w:rPr>
          <w:color w:val="000000"/>
        </w:rPr>
        <w:t>When doing SME work, you can only use records that have images. Make sure to filter your search by records that have media.</w:t>
      </w:r>
    </w:p>
    <w:p w14:paraId="2ED2194D" w14:textId="77777777" w:rsidR="000D60F1" w:rsidRDefault="000D60F1">
      <w:pPr>
        <w:pBdr>
          <w:top w:val="nil"/>
          <w:left w:val="nil"/>
          <w:bottom w:val="nil"/>
          <w:right w:val="nil"/>
          <w:between w:val="nil"/>
        </w:pBdr>
        <w:spacing w:before="11"/>
        <w:rPr>
          <w:color w:val="000000"/>
          <w:sz w:val="21"/>
          <w:szCs w:val="21"/>
        </w:rPr>
      </w:pPr>
    </w:p>
    <w:p w14:paraId="4D215AD7" w14:textId="77777777" w:rsidR="000D60F1" w:rsidRDefault="003D0CE2">
      <w:pPr>
        <w:numPr>
          <w:ilvl w:val="0"/>
          <w:numId w:val="1"/>
        </w:numPr>
        <w:pBdr>
          <w:top w:val="nil"/>
          <w:left w:val="nil"/>
          <w:bottom w:val="nil"/>
          <w:right w:val="nil"/>
          <w:between w:val="nil"/>
        </w:pBdr>
        <w:tabs>
          <w:tab w:val="left" w:pos="820"/>
          <w:tab w:val="left" w:pos="821"/>
        </w:tabs>
        <w:ind w:right="126"/>
        <w:rPr>
          <w:color w:val="000000"/>
        </w:rPr>
      </w:pPr>
      <w:r>
        <w:rPr>
          <w:color w:val="000000"/>
        </w:rPr>
        <w:t>To create your list of artifacts to work through, it is great to use the set tools in CollectiveAccess. This lets you keep adding o</w:t>
      </w:r>
      <w:r>
        <w:rPr>
          <w:color w:val="000000"/>
        </w:rPr>
        <w:t>r removing artifacts from your list as you go along.</w:t>
      </w:r>
    </w:p>
    <w:p w14:paraId="13A6C8F8" w14:textId="77777777" w:rsidR="000D60F1" w:rsidRDefault="000D60F1">
      <w:pPr>
        <w:pBdr>
          <w:top w:val="nil"/>
          <w:left w:val="nil"/>
          <w:bottom w:val="nil"/>
          <w:right w:val="nil"/>
          <w:between w:val="nil"/>
        </w:pBdr>
        <w:spacing w:before="1"/>
        <w:rPr>
          <w:color w:val="000000"/>
        </w:rPr>
      </w:pPr>
    </w:p>
    <w:p w14:paraId="007883ED" w14:textId="77777777" w:rsidR="000D60F1" w:rsidRDefault="003D0CE2">
      <w:pPr>
        <w:numPr>
          <w:ilvl w:val="0"/>
          <w:numId w:val="1"/>
        </w:numPr>
        <w:pBdr>
          <w:top w:val="nil"/>
          <w:left w:val="nil"/>
          <w:bottom w:val="nil"/>
          <w:right w:val="nil"/>
          <w:between w:val="nil"/>
        </w:pBdr>
        <w:tabs>
          <w:tab w:val="left" w:pos="820"/>
          <w:tab w:val="left" w:pos="821"/>
        </w:tabs>
        <w:ind w:right="317"/>
        <w:rPr>
          <w:color w:val="000000"/>
        </w:rPr>
      </w:pPr>
      <w:r>
        <w:rPr>
          <w:color w:val="000000"/>
        </w:rPr>
        <w:t>A nice and easy way to make notes on artifact records is to export your set into a spreadsheet format. Do this by going to Find &gt; Advanced Search &gt; Search by Set, and from here you can export. Make sure to export with images (medium size works well) so tha</w:t>
      </w:r>
      <w:r>
        <w:rPr>
          <w:color w:val="000000"/>
        </w:rPr>
        <w:t>t you know what you are looking at. Working with a spreadsheet has several advantage:</w:t>
      </w:r>
    </w:p>
    <w:p w14:paraId="2A69C68F" w14:textId="77777777" w:rsidR="000D60F1" w:rsidRDefault="003D0CE2">
      <w:pPr>
        <w:numPr>
          <w:ilvl w:val="1"/>
          <w:numId w:val="1"/>
        </w:numPr>
        <w:pBdr>
          <w:top w:val="nil"/>
          <w:left w:val="nil"/>
          <w:bottom w:val="nil"/>
          <w:right w:val="nil"/>
          <w:between w:val="nil"/>
        </w:pBdr>
        <w:tabs>
          <w:tab w:val="left" w:pos="1540"/>
          <w:tab w:val="left" w:pos="1541"/>
        </w:tabs>
        <w:spacing w:line="271" w:lineRule="auto"/>
        <w:rPr>
          <w:color w:val="000000"/>
        </w:rPr>
      </w:pPr>
      <w:r>
        <w:rPr>
          <w:color w:val="000000"/>
        </w:rPr>
        <w:t>Allows you to send the artifact list to your SME ahead of time for them to review</w:t>
      </w:r>
    </w:p>
    <w:p w14:paraId="36F31CEA" w14:textId="77777777" w:rsidR="000D60F1" w:rsidRDefault="003D0CE2">
      <w:pPr>
        <w:numPr>
          <w:ilvl w:val="1"/>
          <w:numId w:val="1"/>
        </w:numPr>
        <w:pBdr>
          <w:top w:val="nil"/>
          <w:left w:val="nil"/>
          <w:bottom w:val="nil"/>
          <w:right w:val="nil"/>
          <w:between w:val="nil"/>
        </w:pBdr>
        <w:tabs>
          <w:tab w:val="left" w:pos="1540"/>
          <w:tab w:val="left" w:pos="1541"/>
        </w:tabs>
        <w:spacing w:line="237" w:lineRule="auto"/>
        <w:ind w:right="163"/>
        <w:rPr>
          <w:color w:val="000000"/>
        </w:rPr>
      </w:pPr>
      <w:r>
        <w:rPr>
          <w:color w:val="000000"/>
        </w:rPr>
        <w:t>Lets you make as many notes as you want in appropriate fields, without worrying that you</w:t>
      </w:r>
      <w:r>
        <w:rPr>
          <w:color w:val="000000"/>
        </w:rPr>
        <w:t xml:space="preserve"> are making changes to the record immediately. It is great to review these </w:t>
      </w:r>
      <w:r>
        <w:rPr>
          <w:color w:val="000000"/>
        </w:rPr>
        <w:lastRenderedPageBreak/>
        <w:t>notes and possibly rephrase things before you change the actual record.</w:t>
      </w:r>
    </w:p>
    <w:p w14:paraId="27A90E7E" w14:textId="77777777" w:rsidR="000D60F1" w:rsidRDefault="000D60F1">
      <w:pPr>
        <w:pBdr>
          <w:top w:val="nil"/>
          <w:left w:val="nil"/>
          <w:bottom w:val="nil"/>
          <w:right w:val="nil"/>
          <w:between w:val="nil"/>
        </w:pBdr>
        <w:spacing w:before="11"/>
        <w:rPr>
          <w:color w:val="000000"/>
          <w:sz w:val="21"/>
          <w:szCs w:val="21"/>
        </w:rPr>
      </w:pPr>
    </w:p>
    <w:p w14:paraId="1B9DD2E4" w14:textId="77777777" w:rsidR="000D60F1" w:rsidRDefault="003D0CE2">
      <w:pPr>
        <w:numPr>
          <w:ilvl w:val="0"/>
          <w:numId w:val="1"/>
        </w:numPr>
        <w:pBdr>
          <w:top w:val="nil"/>
          <w:left w:val="nil"/>
          <w:bottom w:val="nil"/>
          <w:right w:val="nil"/>
          <w:between w:val="nil"/>
        </w:pBdr>
        <w:tabs>
          <w:tab w:val="left" w:pos="820"/>
          <w:tab w:val="left" w:pos="821"/>
        </w:tabs>
        <w:ind w:right="288"/>
        <w:rPr>
          <w:color w:val="000000"/>
        </w:rPr>
      </w:pPr>
      <w:r>
        <w:rPr>
          <w:color w:val="000000"/>
        </w:rPr>
        <w:t>It is sometimes easiest to make a blank row under each of the records in the spreadsheet, and write comments under the appropriate fields while going through them with the SME. You can also use different coloured text, or whatever method works best for you</w:t>
      </w:r>
      <w:r>
        <w:rPr>
          <w:color w:val="000000"/>
        </w:rPr>
        <w:t>. It is also helpful to create a column to add any notes that do not fit into fields. This could include further instructions if you need to physically examine an artifact and find a marking, for example.</w:t>
      </w:r>
    </w:p>
    <w:p w14:paraId="10B02383" w14:textId="77777777" w:rsidR="000D60F1" w:rsidRDefault="000D60F1">
      <w:pPr>
        <w:pBdr>
          <w:top w:val="nil"/>
          <w:left w:val="nil"/>
          <w:bottom w:val="nil"/>
          <w:right w:val="nil"/>
          <w:between w:val="nil"/>
        </w:pBdr>
        <w:spacing w:before="1"/>
        <w:rPr>
          <w:color w:val="000000"/>
        </w:rPr>
      </w:pPr>
    </w:p>
    <w:p w14:paraId="504F1249" w14:textId="77777777" w:rsidR="000D60F1" w:rsidRDefault="003D0CE2">
      <w:pPr>
        <w:numPr>
          <w:ilvl w:val="0"/>
          <w:numId w:val="1"/>
        </w:numPr>
        <w:pBdr>
          <w:top w:val="nil"/>
          <w:left w:val="nil"/>
          <w:bottom w:val="nil"/>
          <w:right w:val="nil"/>
          <w:between w:val="nil"/>
        </w:pBdr>
        <w:tabs>
          <w:tab w:val="left" w:pos="820"/>
          <w:tab w:val="left" w:pos="821"/>
        </w:tabs>
        <w:ind w:right="380"/>
        <w:rPr>
          <w:color w:val="000000"/>
        </w:rPr>
      </w:pPr>
      <w:r>
        <w:rPr>
          <w:color w:val="000000"/>
        </w:rPr>
        <w:t>Sometimes the SME will want to see other photos of</w:t>
      </w:r>
      <w:r>
        <w:rPr>
          <w:color w:val="000000"/>
        </w:rPr>
        <w:t xml:space="preserve"> an object, or zoom in on a section. It is great to have a second computer so that you can call up the records on NovaMuse. Having a second computer is also great so that they can follow along in the spreadsheet, while you can just type on yours.</w:t>
      </w:r>
    </w:p>
    <w:p w14:paraId="047D4F1E" w14:textId="77777777" w:rsidR="000D60F1" w:rsidRDefault="000D60F1">
      <w:pPr>
        <w:pBdr>
          <w:top w:val="nil"/>
          <w:left w:val="nil"/>
          <w:bottom w:val="nil"/>
          <w:right w:val="nil"/>
          <w:between w:val="nil"/>
        </w:pBdr>
        <w:spacing w:before="11"/>
        <w:rPr>
          <w:color w:val="000000"/>
          <w:sz w:val="21"/>
          <w:szCs w:val="21"/>
        </w:rPr>
      </w:pPr>
    </w:p>
    <w:p w14:paraId="5650E825" w14:textId="77777777" w:rsidR="000D60F1" w:rsidRDefault="003D0CE2">
      <w:pPr>
        <w:numPr>
          <w:ilvl w:val="0"/>
          <w:numId w:val="1"/>
        </w:numPr>
        <w:pBdr>
          <w:top w:val="nil"/>
          <w:left w:val="nil"/>
          <w:bottom w:val="nil"/>
          <w:right w:val="nil"/>
          <w:between w:val="nil"/>
        </w:pBdr>
        <w:tabs>
          <w:tab w:val="left" w:pos="821"/>
        </w:tabs>
        <w:spacing w:before="1"/>
        <w:ind w:right="343"/>
        <w:jc w:val="both"/>
        <w:rPr>
          <w:color w:val="000000"/>
        </w:rPr>
      </w:pPr>
      <w:r>
        <w:rPr>
          <w:color w:val="000000"/>
        </w:rPr>
        <w:t>Remember that it is about doing the best you can. Do not worry about how many records you get through or how detailed they are, because any little bit helps. Also do not be afraid to skip over any records that do not interest your SME or that they have not</w:t>
      </w:r>
      <w:r>
        <w:rPr>
          <w:color w:val="000000"/>
        </w:rPr>
        <w:t>hing to say about.</w:t>
      </w:r>
    </w:p>
    <w:p w14:paraId="78E6C0C2" w14:textId="77777777" w:rsidR="000D60F1" w:rsidRDefault="000D60F1">
      <w:pPr>
        <w:pBdr>
          <w:top w:val="nil"/>
          <w:left w:val="nil"/>
          <w:bottom w:val="nil"/>
          <w:right w:val="nil"/>
          <w:between w:val="nil"/>
        </w:pBdr>
        <w:spacing w:before="11"/>
        <w:rPr>
          <w:color w:val="000000"/>
          <w:sz w:val="21"/>
          <w:szCs w:val="21"/>
        </w:rPr>
      </w:pPr>
    </w:p>
    <w:p w14:paraId="477DD334" w14:textId="77777777" w:rsidR="000D60F1" w:rsidRDefault="003D0CE2">
      <w:pPr>
        <w:numPr>
          <w:ilvl w:val="0"/>
          <w:numId w:val="1"/>
        </w:numPr>
        <w:pBdr>
          <w:top w:val="nil"/>
          <w:left w:val="nil"/>
          <w:bottom w:val="nil"/>
          <w:right w:val="nil"/>
          <w:between w:val="nil"/>
        </w:pBdr>
        <w:tabs>
          <w:tab w:val="left" w:pos="821"/>
        </w:tabs>
        <w:ind w:right="299"/>
        <w:jc w:val="both"/>
        <w:rPr>
          <w:color w:val="000000"/>
        </w:rPr>
      </w:pPr>
      <w:r>
        <w:rPr>
          <w:color w:val="000000"/>
        </w:rPr>
        <w:t>Do not be afraid to ask questions! Things that are very obvious to the SME may not be obvious to you, or your public. Remember that this is about making the records easy to understand for everybody.</w:t>
      </w:r>
    </w:p>
    <w:p w14:paraId="411C4E21" w14:textId="77777777" w:rsidR="000D60F1" w:rsidRDefault="000D60F1">
      <w:pPr>
        <w:pBdr>
          <w:top w:val="nil"/>
          <w:left w:val="nil"/>
          <w:bottom w:val="nil"/>
          <w:right w:val="nil"/>
          <w:between w:val="nil"/>
        </w:pBdr>
        <w:spacing w:before="1"/>
        <w:rPr>
          <w:color w:val="000000"/>
        </w:rPr>
      </w:pPr>
    </w:p>
    <w:p w14:paraId="75EE1277" w14:textId="77777777" w:rsidR="000D60F1" w:rsidRDefault="003D0CE2">
      <w:pPr>
        <w:numPr>
          <w:ilvl w:val="0"/>
          <w:numId w:val="1"/>
        </w:numPr>
        <w:pBdr>
          <w:top w:val="nil"/>
          <w:left w:val="nil"/>
          <w:bottom w:val="nil"/>
          <w:right w:val="nil"/>
          <w:between w:val="nil"/>
        </w:pBdr>
        <w:tabs>
          <w:tab w:val="left" w:pos="821"/>
        </w:tabs>
        <w:spacing w:before="1"/>
        <w:ind w:right="379"/>
        <w:jc w:val="both"/>
        <w:rPr>
          <w:color w:val="000000"/>
        </w:rPr>
      </w:pPr>
      <w:r>
        <w:rPr>
          <w:color w:val="000000"/>
        </w:rPr>
        <w:t>Do not be afraid to ask your SME to repeat themselves, or slow down. You want to make sure what you are writing down is accurate.</w:t>
      </w:r>
    </w:p>
    <w:p w14:paraId="49474E33" w14:textId="77777777" w:rsidR="000D60F1" w:rsidRDefault="000D60F1">
      <w:pPr>
        <w:pBdr>
          <w:top w:val="nil"/>
          <w:left w:val="nil"/>
          <w:bottom w:val="nil"/>
          <w:right w:val="nil"/>
          <w:between w:val="nil"/>
        </w:pBdr>
        <w:spacing w:before="10"/>
        <w:rPr>
          <w:color w:val="000000"/>
          <w:sz w:val="21"/>
          <w:szCs w:val="21"/>
        </w:rPr>
      </w:pPr>
    </w:p>
    <w:p w14:paraId="4F8FD4D1" w14:textId="77777777" w:rsidR="000D60F1" w:rsidRDefault="003D0CE2">
      <w:pPr>
        <w:numPr>
          <w:ilvl w:val="0"/>
          <w:numId w:val="1"/>
        </w:numPr>
        <w:pBdr>
          <w:top w:val="nil"/>
          <w:left w:val="nil"/>
          <w:bottom w:val="nil"/>
          <w:right w:val="nil"/>
          <w:between w:val="nil"/>
        </w:pBdr>
        <w:tabs>
          <w:tab w:val="left" w:pos="820"/>
          <w:tab w:val="left" w:pos="821"/>
        </w:tabs>
        <w:ind w:right="141"/>
        <w:rPr>
          <w:color w:val="000000"/>
        </w:rPr>
      </w:pPr>
      <w:r>
        <w:rPr>
          <w:color w:val="000000"/>
        </w:rPr>
        <w:t>Work through the records on a schedule that works best for your SME. This could be in the form of weekly standing appointment</w:t>
      </w:r>
      <w:r>
        <w:rPr>
          <w:color w:val="000000"/>
        </w:rPr>
        <w:t>s that are an hour long, or just dedicating one day, or part of a day to get through as much as you can. Suggest different formats, but be open to whatever they are most comfortable with.</w:t>
      </w:r>
    </w:p>
    <w:p w14:paraId="5BE42B0B" w14:textId="77777777" w:rsidR="000D60F1" w:rsidRDefault="000D60F1">
      <w:pPr>
        <w:pBdr>
          <w:top w:val="nil"/>
          <w:left w:val="nil"/>
          <w:bottom w:val="nil"/>
          <w:right w:val="nil"/>
          <w:between w:val="nil"/>
        </w:pBdr>
        <w:spacing w:before="2"/>
        <w:rPr>
          <w:color w:val="000000"/>
        </w:rPr>
      </w:pPr>
    </w:p>
    <w:p w14:paraId="5B542C05" w14:textId="77777777" w:rsidR="000D60F1" w:rsidRDefault="003D0CE2">
      <w:pPr>
        <w:numPr>
          <w:ilvl w:val="0"/>
          <w:numId w:val="1"/>
        </w:numPr>
        <w:pBdr>
          <w:top w:val="nil"/>
          <w:left w:val="nil"/>
          <w:bottom w:val="nil"/>
          <w:right w:val="nil"/>
          <w:between w:val="nil"/>
        </w:pBdr>
        <w:tabs>
          <w:tab w:val="left" w:pos="820"/>
          <w:tab w:val="left" w:pos="821"/>
        </w:tabs>
        <w:ind w:right="187"/>
        <w:rPr>
          <w:color w:val="000000"/>
        </w:rPr>
      </w:pPr>
      <w:r>
        <w:rPr>
          <w:color w:val="000000"/>
        </w:rPr>
        <w:t>Thank them! Continue your positive relationship by closing the project with a proper thank you. This will help them think positively of you in the future, and possibly come back to help again.</w:t>
      </w:r>
    </w:p>
    <w:sectPr w:rsidR="000D60F1">
      <w:pgSz w:w="12240" w:h="15840"/>
      <w:pgMar w:top="1440" w:right="1340" w:bottom="280" w:left="1340" w:header="360" w:footer="36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rlit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D1EA7"/>
    <w:multiLevelType w:val="multilevel"/>
    <w:tmpl w:val="3CFE2C72"/>
    <w:lvl w:ilvl="0">
      <w:numFmt w:val="bullet"/>
      <w:lvlText w:val="●"/>
      <w:lvlJc w:val="left"/>
      <w:pPr>
        <w:ind w:left="820" w:hanging="360"/>
      </w:pPr>
      <w:rPr>
        <w:rFonts w:ascii="Noto Sans Symbols" w:eastAsia="Noto Sans Symbols" w:hAnsi="Noto Sans Symbols" w:cs="Noto Sans Symbols"/>
        <w:sz w:val="22"/>
        <w:szCs w:val="22"/>
      </w:rPr>
    </w:lvl>
    <w:lvl w:ilvl="1">
      <w:numFmt w:val="bullet"/>
      <w:lvlText w:val="o"/>
      <w:lvlJc w:val="left"/>
      <w:pPr>
        <w:ind w:left="1540" w:hanging="360"/>
      </w:pPr>
      <w:rPr>
        <w:rFonts w:ascii="Courier New" w:eastAsia="Courier New" w:hAnsi="Courier New" w:cs="Courier New"/>
        <w:sz w:val="22"/>
        <w:szCs w:val="22"/>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F1"/>
    <w:rsid w:val="000D60F1"/>
    <w:rsid w:val="003D0C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067B"/>
  <w15:docId w15:val="{3AE6D9EF-260C-4570-9F32-C3F41EED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rlito" w:eastAsia="Carlito" w:hAnsi="Carlito" w:cs="Carlito"/>
        <w:sz w:val="22"/>
        <w:szCs w:val="22"/>
        <w:lang w:val="en-US"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100" w:right="3890"/>
    </w:pPr>
    <w:rPr>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Camilo Mejia</cp:lastModifiedBy>
  <cp:revision>2</cp:revision>
  <dcterms:created xsi:type="dcterms:W3CDTF">2020-07-03T12:00:00Z</dcterms:created>
  <dcterms:modified xsi:type="dcterms:W3CDTF">2020-07-03T12:00:00Z</dcterms:modified>
</cp:coreProperties>
</file>